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4631</w:t>
        <w:t xml:space="preserve">.  </w:t>
      </w:r>
      <w:r>
        <w:rPr>
          <w:b/>
        </w:rPr>
        <w:t xml:space="preserve">Burden of proof</w:t>
      </w:r>
    </w:p>
    <w:p>
      <w:pPr>
        <w:jc w:val="both"/>
        <w:spacing w:before="100" w:after="100"/>
        <w:ind w:start="360"/>
        <w:ind w:firstLine="360"/>
      </w:pPr>
      <w:r>
        <w:rPr/>
      </w:r>
      <w:r>
        <w:rPr/>
      </w:r>
      <w:r>
        <w:t xml:space="preserve">In any civil action under this Act, the burden shall be on the person seeking relief to prove, by a fair preponderance of the evidence, that the alleged unlawful discrimination occurred.</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§4631.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§4631.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§4631.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