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§3105. ACCEPTANCE AND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