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w:t>
        <w:t xml:space="preserve">.  </w:t>
      </w:r>
      <w:r>
        <w:rPr>
          <w:b/>
        </w:rPr>
        <w:t xml:space="preserve">Penalties for violations</w:t>
      </w:r>
    </w:p>
    <w:p>
      <w:pPr>
        <w:jc w:val="both"/>
        <w:spacing w:before="100" w:after="100"/>
        <w:ind w:start="360"/>
        <w:ind w:firstLine="360"/>
      </w:pPr>
      <w:r>
        <w:rPr/>
      </w:r>
      <w:r>
        <w:rPr/>
      </w:r>
      <w:r>
        <w:t xml:space="preserve">A person who violates </w:t>
      </w:r>
      <w:r>
        <w:t>sections 22</w:t>
      </w:r>
      <w:r>
        <w:t xml:space="preserve">, </w:t>
      </w:r>
      <w:r>
        <w:t>23</w:t>
      </w:r>
      <w:r>
        <w:t xml:space="preserve"> and </w:t>
      </w:r>
      <w:r>
        <w:t>24</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