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2053</w:t>
        <w:t xml:space="preserve">.  </w:t>
      </w:r>
      <w:r>
        <w:rPr>
          <w:b/>
        </w:rPr>
        <w:t xml:space="preserve">Account of items in writing may be required</w:t>
      </w:r>
    </w:p>
    <w:p>
      <w:pPr>
        <w:jc w:val="both"/>
        <w:spacing w:before="100" w:after="100"/>
        <w:ind w:start="360"/>
        <w:ind w:firstLine="360"/>
      </w:pPr>
      <w:r>
        <w:rPr/>
      </w:r>
      <w:r>
        <w:rPr/>
      </w:r>
      <w:r>
        <w:t xml:space="preserve">Every officer or other person upon receiving any fees provided for by law, if required by the person paying them, shall make a particular account thereof in writing specifying for what they accrued or he forfeits to such person treble the sum paid, to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§2053. Account of items in writing may be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§2053. Account of items in writing may be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§2053. ACCOUNT OF ITEMS IN WRITING MAY BE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