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20073-B</w:t>
        <w:t xml:space="preserve">.  </w:t>
      </w:r>
      <w:r>
        <w:rPr>
          <w:b/>
        </w:rPr>
        <w:t xml:space="preserve">Programs and components; rules</w:t>
      </w:r>
    </w:p>
    <w:p>
      <w:pPr>
        <w:jc w:val="both"/>
        <w:spacing w:before="100" w:after="100"/>
        <w:ind w:start="360"/>
        <w:ind w:firstLine="360"/>
      </w:pPr>
      <w:r>
        <w:rPr/>
      </w:r>
      <w:r>
        <w:rPr/>
      </w:r>
      <w:r>
        <w:t xml:space="preserve">The department shall design programs and components that are age-appropriate and therapeutically appropriate.  The department shall adopt rules regarding requirements for these programs and components and any other rules necessary to implement this subchapter.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§6 (NEW). PL 2011, c. 657, Pt. AA,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§20073-B. Programs and components;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§20073-B. Programs and components;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§20073-B. PROGRAMS AND COMPONENTS;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