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1976</w:t>
        <w:t xml:space="preserve">.  </w:t>
      </w:r>
      <w:r>
        <w:rPr>
          <w:b/>
        </w:rPr>
        <w:t xml:space="preserve">Use of State Government computer system</w:t>
      </w:r>
    </w:p>
    <w:p>
      <w:pPr>
        <w:jc w:val="both"/>
        <w:spacing w:before="100" w:after="100"/>
        <w:ind w:start="360"/>
        <w:ind w:firstLine="360"/>
      </w:pPr>
      <w:r>
        <w:rPr>
          <w:b/>
        </w:rPr>
        <w:t>1</w:t>
        <w:t xml:space="preserve">.  </w:t>
      </w:r>
      <w:r>
        <w:rPr>
          <w:b/>
        </w:rPr>
        <w:t xml:space="preserve">Confidentiality.</w:t>
        <w:t xml:space="preserve"> </w:t>
      </w:r>
      <w:r>
        <w:t xml:space="preserve"> </w:t>
      </w:r>
      <w:r>
        <w:t xml:space="preserve">Computer programs, technical data, logic diagrams and source code related to data processing or telecommunications are confidential and are not public records, as defined in </w:t>
      </w:r>
      <w:r>
        <w:t>Title 1, section 402, subsection 3</w:t>
      </w:r>
      <w:r>
        <w:t xml:space="preserve">, to the extent of the identified trade secrets.  To qualify for confidentiality under this subsection, computer programs, technical data, logic diagrams and source code must:</w:t>
      </w:r>
    </w:p>
    <w:p>
      <w:pPr>
        <w:jc w:val="both"/>
        <w:spacing w:before="100" w:after="0"/>
        <w:ind w:start="720"/>
      </w:pPr>
      <w:r>
        <w:rPr/>
        <w:t>A</w:t>
        <w:t xml:space="preserve">.  </w:t>
      </w:r>
      <w:r>
        <w:rPr/>
      </w:r>
      <w:r>
        <w:t xml:space="preserve">Contain trade secrets, as defined in </w:t>
      </w:r>
      <w:r>
        <w:t>Title 10, section 1542, subsection 4</w:t>
      </w:r>
      <w:r>
        <w:t xml:space="preserve">, held in private ownership;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Have been provided to a state agency by an authorized independent vendor or contractor under an agreement by which:</w:t>
      </w:r>
    </w:p>
    <w:p>
      <w:pPr>
        <w:jc w:val="both"/>
        <w:spacing w:before="100" w:after="0"/>
        <w:ind w:start="1080"/>
      </w:pPr>
      <w:r>
        <w:rPr/>
        <w:t>(</w:t>
        <w:t>1</w:t>
        <w:t xml:space="preserve">)  </w:t>
      </w:r>
      <w:r>
        <w:rPr/>
      </w:r>
      <w:r>
        <w:t xml:space="preserve">All trade secrets that can be protected are identified without disclosing the trade secret;</w:t>
      </w:r>
    </w:p>
    <w:p>
      <w:pPr>
        <w:jc w:val="both"/>
        <w:spacing w:before="100" w:after="0"/>
        <w:ind w:start="1080"/>
      </w:pPr>
      <w:r>
        <w:rPr/>
        <w:t>(</w:t>
        <w:t>2</w:t>
        <w:t xml:space="preserve">)  </w:t>
      </w:r>
      <w:r>
        <w:rPr/>
      </w:r>
      <w:r>
        <w:t xml:space="preserve">The vendor or contractor retains all intellectual property rights in those trade secrets; and</w:t>
      </w:r>
    </w:p>
    <w:p>
      <w:pPr>
        <w:jc w:val="both"/>
        <w:spacing w:before="100" w:after="0"/>
        <w:ind w:start="1080"/>
      </w:pPr>
      <w:r>
        <w:rPr/>
        <w:t>(</w:t>
        <w:t>3</w:t>
        <w:t xml:space="preserve">)  </w:t>
      </w:r>
      <w:r>
        <w:rPr/>
      </w:r>
      <w:r>
        <w:t xml:space="preserve">The state agency agrees to hold and use the programs, data, diagrams or source code without disclosing any identified trade secrets.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2</w:t>
        <w:t xml:space="preserve">.  </w:t>
      </w:r>
      <w:r>
        <w:rPr>
          <w:b/>
        </w:rPr>
        <w:t xml:space="preserve">Public records.</w:t>
        <w:t xml:space="preserve"> </w:t>
      </w:r>
      <w:r>
        <w:t xml:space="preserve"> </w:t>
      </w:r>
      <w:r>
        <w:t xml:space="preserve">Except as provided in </w:t>
      </w:r>
      <w:r>
        <w:t>subsection 1</w:t>
      </w:r>
      <w:r>
        <w:t xml:space="preserve">, any document created or stored on a State Government computer must be made available in accordance with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§4 (AMD).]</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176, §2 (RP).]</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2003, c. 176, §2 (AMD). PL 2007, c. 597,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§1976. Use of State Government computer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§1976. Use of State Government computer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§1976. USE OF STATE GOVERNMENT COMPUTER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