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§194-I. INTERVENTION IN COURT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