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19302</w:t>
        <w:t xml:space="preserve">.  </w:t>
      </w:r>
      <w:r>
        <w:rPr>
          <w:b/>
        </w:rPr>
        <w:t xml:space="preserve">Employment discrimination on the basis of genetic information or genetic testing</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employer may not fail or refuse to hire, discharge or otherwise discriminate against an employee or applicant for employment with respect to the compensation, terms or conditions of employment on the basis of genetic information concerning that individual or because of the individual's refusal to submit to a genetic test or make available the results of a genetic test or on the basis that the individual received a genetic test or genetic counseling, except when based 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Enforcement; remedies.</w:t>
        <w:t xml:space="preserve"> </w:t>
      </w:r>
      <w:r>
        <w:t xml:space="preserve"> </w:t>
      </w:r>
      <w:r>
        <w:t xml:space="preserve">The Maine Human Rights Commission shall enforce this section. Violations of this section are subject to the remedies available under </w:t>
      </w:r>
      <w:r>
        <w:t>chapter 337, subchapters VI</w:t>
      </w:r>
      <w:r>
        <w:t xml:space="preserve"> and </w:t>
      </w:r>
      <w:r>
        <w:t>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§19302. Employment discrimination on the basis of genetic information or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§19302. Employment discrimination on the basis of genetic information or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§19302. EMPLOYMENT DISCRIMINATION ON THE BASIS OF GENETIC INFORMATION OR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