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w:t>
        <w:t xml:space="preserve">.  </w:t>
      </w:r>
      <w:r>
        <w:rPr>
          <w:b/>
        </w:rPr>
        <w:t xml:space="preserve">Motor vehicles sold by State</w:t>
      </w:r>
    </w:p>
    <w:p>
      <w:pPr>
        <w:jc w:val="both"/>
        <w:spacing w:before="100" w:after="100"/>
        <w:ind w:start="360"/>
        <w:ind w:firstLine="360"/>
      </w:pPr>
      <w:r>
        <w:rPr/>
      </w:r>
      <w:r>
        <w:rPr/>
      </w:r>
      <w:r>
        <w:t xml:space="preserve">Any motor vehicle sold by the State shall be sold to the highest bidder. Specific terms of delivery and terms of interim usage prior to delivery shall be stated to the prospective purchaser prior to the time that the State accepts any bid, and such terms shall be complied with by agents or employees of the State having control of the disposition of such motor vehicle or vehicles after any such bids have been accepted. This section shall not apply to the exchange of motor vehicles for new models between the State and authorized dealers.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§1820. Motor vehicles sold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 Motor vehicles sold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§1820. MOTOR VEHICLES SOLD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