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17704‑C</w:t>
      </w:r>
      <w:r>
        <w:t xml:space="preserve">, the member must be granted service credit for the period of time for which the contributions have been made.  Upon making partial payment of the back contributions under </w:t>
      </w:r>
      <w:r>
        <w:t>section 17704‑C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§22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§5 (RPR). PL 1995, c. 180, §4 (AMD). PL 2009, c. 474,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§17753. Service credit for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§17753. Service credit for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§17753. SERVICE CREDIT FOR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