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17710-B</w:t>
        <w:t xml:space="preserve">.  </w:t>
      </w:r>
      <w:r>
        <w:rPr>
          <w:b/>
        </w:rPr>
        <w:t xml:space="preserve">Marine resources officers; contributions on and after July 1, 1993</w:t>
      </w:r>
    </w:p>
    <w:p>
      <w:pPr>
        <w:jc w:val="both"/>
        <w:spacing w:before="100" w:after="100"/>
        <w:ind w:start="360"/>
        <w:ind w:firstLine="360"/>
      </w:pPr>
      <w:r>
        <w:rPr/>
      </w:r>
      <w:r>
        <w:rPr/>
      </w:r>
      <w:r>
        <w:t xml:space="preserve">Notwithstanding </w:t>
      </w:r>
      <w:r>
        <w:t>sections 17710</w:t>
      </w:r>
      <w:r>
        <w:t xml:space="preserve"> and </w:t>
      </w:r>
      <w:r>
        <w:t>17710‑A</w:t>
      </w:r>
      <w:r>
        <w:t xml:space="preserve">, on and after July 1, 1993 a law enforcement officer in the Department of Marine Resources who is subject to </w:t>
      </w:r>
      <w:r>
        <w:t>section 17710</w:t>
      </w:r>
      <w:r>
        <w:t xml:space="preserve"> shall contribute to the State Employee and Teacher Retirement Program or have pick-up contributions made at a rate of 1.15% of earnable compensation in addition to the contributions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§17710-B. Marine resources officers;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§17710-B. Marine resources officers;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§17710-B. MARINE RESOURCES OFFICERS;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