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17603</w:t>
        <w:t xml:space="preserve">.  </w:t>
      </w:r>
      <w:r>
        <w:rPr>
          <w:b/>
        </w:rPr>
        <w:t xml:space="preserve">Internal Revenue Code qualified plan compliance</w:t>
      </w:r>
    </w:p>
    <w:p>
      <w:pPr>
        <w:jc w:val="both"/>
        <w:spacing w:before="100" w:after="100"/>
        <w:ind w:start="360"/>
        <w:ind w:firstLine="360"/>
      </w:pPr>
      <w:r>
        <w:rPr/>
      </w:r>
      <w:r>
        <w:rPr/>
      </w:r>
      <w:r>
        <w:t xml:space="preserve">The State Employee and Teacher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§14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State Employee and Teacher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State Employee and Teacher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§17603. Internal Revenue Code qualified plan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§17603. Internal Revenue Code qualified plan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§17603. INTERNAL REVENUE CODE QUALIFIED PLAN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