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17155</w:t>
        <w:t xml:space="preserve">.  </w:t>
      </w:r>
      <w:r>
        <w:rPr>
          <w:b/>
        </w:rPr>
        <w:t xml:space="preserve">Special resolves</w:t>
      </w:r>
    </w:p>
    <w:p>
      <w:pPr>
        <w:jc w:val="both"/>
        <w:spacing w:before="100" w:after="100"/>
        <w:ind w:start="360"/>
        <w:ind w:firstLine="360"/>
      </w:pPr>
      <w:r>
        <w:rPr/>
      </w:r>
      <w:r>
        <w:rPr/>
      </w:r>
      <w:r>
        <w:t xml:space="preserve">If and when any special resolve or other legislation described in </w:t>
      </w:r>
      <w:r>
        <w:t>section 17103, subsection 10</w:t>
      </w:r>
      <w:r>
        <w:t xml:space="preserve">, is enacted by the Legislature, the entire actuarial costs of benefits granted shall be fully funded by act of the same Legislature which enacts the special resolve or other legislation.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§17155. Special resolves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§17155. Special resolves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§17155. SPECIAL RESOLVES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