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§1710-G. USE OF REVENUE FORECASTS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