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17058</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availability, calculation or value of any benefit is required for an administrative or judicial proceeding, the party seeking the information must file written questions requesting that information with the chief executive officer.  The chief executive officer, or the chief executive officer's designee, shall make a certified response to those questions within 30 days and the certified response is admissible as evidence in any administrative or judicial proceeding.  A subpoena or other form of discovery directed at obtaining the information may not be issued nor may employees of the retirement system be required to testify on the subjects covered by the certified response unless there is an express finding by an administrative agency or a court that there is a compelling necessity to permit further discovery or to require testimony.</w:t>
      </w:r>
      <w:r>
        <w:t xml:space="preserve">  </w:t>
      </w:r>
      <w:r xmlns:wp="http://schemas.openxmlformats.org/drawingml/2010/wordprocessingDrawing" xmlns:w15="http://schemas.microsoft.com/office/word/2012/wordml">
        <w:rPr>
          <w:rFonts w:ascii="Arial" w:hAnsi="Arial" w:cs="Arial"/>
          <w:sz w:val="22"/>
          <w:szCs w:val="22"/>
        </w:rPr>
        <w:t xml:space="preserve">[PL 1991, c. 580,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§3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§17058. Information for administrative or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§17058. Information for administrative or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§17058. INFORMATION FOR ADMINISTRATIVE OR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