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13090-A</w:t>
        <w:t xml:space="preserve">.  </w:t>
      </w:r>
      <w:r>
        <w:rPr>
          <w:b/>
        </w:rPr>
        <w:t xml:space="preserve">Economic Opportunity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Opportunity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Subject to any pledge, contract, fee or other obligation, any money that the department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Any other money available to the department and directed by the department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department under or in connection with </w:t>
      </w:r>
      <w:r>
        <w:t>section 13090‑B</w:t>
      </w:r>
      <w:r>
        <w:t xml:space="preserve"> or to pay obligations incurred in connection with the fund.  Money in the fund not needed to meet the obligations of the department as provided in this 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4</w:t>
        <w:t xml:space="preserve">.  </w:t>
      </w:r>
      <w:r>
        <w:rPr>
          <w:b/>
        </w:rPr>
        <w:t xml:space="preserve">Allocations from fund.</w:t>
        <w:t xml:space="preserve"> </w:t>
      </w:r>
      <w:r>
        <w:t xml:space="preserve"> </w:t>
      </w:r>
      <w:r>
        <w:t xml:space="preserve">The department may request allocations from the fund as it determines necessary or convenient to carry out this article, including, but not limited to, allocations for grants or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The department shall apply continuously all money in the fund to carry 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§13090-A. Economic Opportunity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§13090-A. Economic Opportunity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§13090-A. ECONOMIC OPPORTUNITY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