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13083-F</w:t>
        <w:t xml:space="preserve">.  </w:t>
      </w:r>
      <w:r>
        <w:rPr>
          <w:b/>
        </w:rPr>
        <w:t xml:space="preserve">Annual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authority shall submit to the Governor, the Executive Director of the Legislative Council and the joint standing committee of the Legislature having jurisdiction over business and economic development matters, not later than 120 days after the close of the authority's fiscal year, a complete report on the activities of the authority. The report may also be provided to any other member of the Legislature and to any other person.  The report must include for the previous year:</w:t>
      </w:r>
    </w:p>
    <w:p>
      <w:pPr>
        <w:jc w:val="both"/>
        <w:spacing w:before="100" w:after="0"/>
        <w:ind w:start="720"/>
      </w:pPr>
      <w:r>
        <w:rPr/>
        <w:t>A</w:t>
        <w:t xml:space="preserve">.  </w:t>
      </w:r>
      <w:r>
        <w:rPr/>
      </w:r>
      <w:r>
        <w:t xml:space="preserve">A description of the authority's operations and activities;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An accounting of the authority's receipts and expenditures and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A listing of all property transactions pursuant to </w:t>
      </w:r>
      <w:r>
        <w:t>section 13083‑D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D</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§13083-F.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§13083-F.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§13083-F.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