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12012</w:t>
        <w:t xml:space="preserve">.  </w:t>
      </w:r>
      <w:r>
        <w:rPr>
          <w:b/>
        </w:rPr>
        <w:t xml:space="preserve">Members from other branches of government</w:t>
      </w:r>
    </w:p>
    <w:p>
      <w:pPr>
        <w:jc w:val="both"/>
        <w:spacing w:before="100" w:after="100"/>
        <w:ind w:start="360"/>
        <w:ind w:firstLine="360"/>
      </w:pPr>
      <w:r>
        <w:rPr/>
      </w:r>
      <w:r>
        <w:rPr/>
      </w:r>
      <w:r>
        <w:t xml:space="preserve">Persons who serve in any branch of State Government may serve on a board that is solely advisory in authority.  A person who serves in a branch of State Government may serve on a board of another branch of State Government as a nonvoting member in an advisory capacity only if that board is not solely advisory in authority. A person who serves in a branch of State Government may serve on any board that is solely advisory in authority, unless specifically prohibited by another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1985, c. 295, §23 (AMD).]</w:t>
      </w:r>
    </w:p>
    <w:p>
      <w:pPr>
        <w:jc w:val="both"/>
        <w:spacing w:before="100" w:after="100"/>
        <w:ind w:start="360"/>
        <w:ind w:firstLine="360"/>
      </w:pPr>
      <w:r>
        <w:rPr/>
      </w:r>
      <w:r>
        <w:rPr/>
      </w:r>
      <w:r>
        <w:t xml:space="preserve">A board is solely advisory in authority if its only authority is to review policies and procedures, conduct studies or advise or make recommendations to a branch of government. It may not have the authority to control expenditures, issue rules, approve decisions of other agencies or officials or enforce its decisions or recommendations.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295,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§12012. Members from other branches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§12012. Members from other branches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§12012. MEMBERS FROM OTHER BRANCHES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