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GOVERNMENTAL INFORMATION NETWORK BOARD</w:t>
      </w:r>
    </w:p>
    <w:p>
      <w:pPr>
        <w:jc w:val="center"/>
        <w:ind w:start="360"/>
        <w:spacing w:before="300" w:after="300"/>
      </w:pPr>
      <w:r>
        <w:rPr>
          <w:b/>
        </w:rPr>
        <w:t>(REPEALED)</w:t>
      </w:r>
    </w:p>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354</w:t>
        <w:t xml:space="preserve">.  </w:t>
      </w:r>
      <w:r>
        <w:rPr>
          <w:b/>
        </w:rPr>
        <w:t xml:space="preserve">Board membership; term of office; organization;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2001, c. 388, §2 (AMD). PL 2003, c. 643, §1 (RP). </w:t>
      </w:r>
    </w:p>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357</w:t>
        <w:t xml:space="preserve">.  </w:t>
      </w:r>
      <w:r>
        <w:rPr>
          <w:b/>
        </w:rPr>
        <w:t xml:space="preserve">Funding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17. MAINE GOVERNMENTAL INFORMATION NETWORK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