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§774. COMPARABLE TREATMENT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