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w:t>
        <w:t xml:space="preserve">.  </w:t>
      </w:r>
      <w:r>
        <w:rPr>
          <w:b/>
        </w:rPr>
        <w:t xml:space="preserve">Use of Executive Department agencies</w:t>
      </w:r>
    </w:p>
    <w:p>
      <w:pPr>
        <w:jc w:val="both"/>
        <w:spacing w:before="100" w:after="100"/>
        <w:ind w:start="360"/>
        <w:ind w:firstLine="360"/>
      </w:pPr>
      <w:r>
        <w:rPr/>
      </w:r>
      <w:r>
        <w:rPr/>
      </w:r>
      <w:r>
        <w:t xml:space="preserve">Unless otherwise prohibited by law, the Judicial Department shall use the services of and be included in any systems established and maintained by the bureaus within the Department of Administrative and Financial Services and is subject to the same rules that apply to the Executive Department unless specifically exempted.</w:t>
      </w:r>
      <w:r>
        <w:t xml:space="preserve">  </w:t>
      </w:r>
      <w:r xmlns:wp="http://schemas.openxmlformats.org/drawingml/2010/wordprocessingDrawing" xmlns:w15="http://schemas.microsoft.com/office/word/2012/wordml">
        <w:rPr>
          <w:rFonts w:ascii="Arial" w:hAnsi="Arial" w:cs="Arial"/>
          <w:sz w:val="22"/>
          <w:szCs w:val="22"/>
        </w:rPr>
        <w:t xml:space="preserve">[PL 1997, c. 24, Pt. II,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733, §1 (NEW). PL 1997, c. 24, §II3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 Use of Executive Department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 Use of Executive Department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§26. USE OF EXECUTIVE DEPARTMENT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