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Indigent Legal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