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Children's guardians</w:t>
      </w:r>
    </w:p>
    <w:p>
      <w:pPr>
        <w:jc w:val="both"/>
        <w:spacing w:before="100" w:after="0"/>
        <w:ind w:start="360"/>
        <w:ind w:firstLine="360"/>
      </w:pPr>
      <w:r>
        <w:rPr>
          <w:b/>
        </w:rPr>
        <w:t>1</w:t>
        <w:t xml:space="preserve">.  </w:t>
      </w:r>
      <w:r>
        <w:rPr>
          <w:b/>
        </w:rPr>
        <w:t xml:space="preserve">Guardian ad litem roster.</w:t>
        <w:t xml:space="preserve"> </w:t>
      </w:r>
      <w:r>
        <w:t xml:space="preserve"> </w:t>
      </w:r>
      <w:r>
        <w:t xml:space="preserve">The division shall assist the Chief Judge of the District Court in the establishment and maintenance of a roster of guardians ad litem pursuant to </w:t>
      </w:r>
      <w:r>
        <w:t>section 1553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2</w:t>
        <w:t xml:space="preserve">.  </w:t>
      </w:r>
      <w:r>
        <w:rPr>
          <w:b/>
        </w:rPr>
        <w:t xml:space="preserve">Administration of guardians ad litem under Title 19-A.</w:t>
        <w:t xml:space="preserve"> </w:t>
      </w:r>
      <w:r>
        <w:t xml:space="preserve"> </w:t>
      </w:r>
      <w:r>
        <w:t xml:space="preserve">For guardians ad litem appointed under </w:t>
      </w:r>
      <w:r>
        <w:t>Title 19‑A</w:t>
      </w:r>
      <w:r>
        <w:t xml:space="preserve">, the division shall assist the Chief Judge of the District Court in:</w:t>
      </w:r>
    </w:p>
    <w:p>
      <w:pPr>
        <w:jc w:val="both"/>
        <w:spacing w:before="100" w:after="0"/>
        <w:ind w:start="720"/>
      </w:pPr>
      <w:r>
        <w:rPr/>
        <w:t>A</w:t>
        <w:t xml:space="preserve">.  </w:t>
      </w:r>
      <w:r>
        <w:rPr/>
      </w:r>
      <w:r>
        <w:t xml:space="preserve">Establishing standardized billing, itemization requirements and time reporting processes for all guardians ad litem;</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Establishing guidelines for preparation of required reports; and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Collecting, maintaining and reporting data about orders of appointment, submission of required reports, caseloads and other information as directed by the Chief Judge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3</w:t>
        <w:t xml:space="preserve">.  </w:t>
      </w:r>
      <w:r>
        <w:rPr>
          <w:b/>
        </w:rPr>
        <w:t xml:space="preserve">Staff.</w:t>
        <w:t xml:space="preserve"> </w:t>
      </w:r>
      <w:r>
        <w:t xml:space="preserve"> </w:t>
      </w:r>
      <w:r>
        <w:t xml:space="preserve">The State Court Administrator shall provide necessary professional and clerical or other staff and logistical support to the division within the limit of funds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4</w:t>
        <w:t xml:space="preserve">.  </w:t>
      </w:r>
      <w:r>
        <w:rPr>
          <w:b/>
        </w:rPr>
        <w:t xml:space="preserve">Public information.</w:t>
        <w:t xml:space="preserve"> </w:t>
      </w:r>
      <w:r>
        <w:t xml:space="preserve"> </w:t>
      </w:r>
      <w:r>
        <w:t xml:space="preserve">The division shall provide public information about the role of guardians ad litem, how to provide comments about a guardian ad litem and the complaint process established pursuant to </w:t>
      </w:r>
      <w:r>
        <w:t>section 1557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5</w:t>
        <w:t xml:space="preserve">.  </w:t>
      </w:r>
      <w:r>
        <w:rPr>
          <w:b/>
        </w:rPr>
        <w:t xml:space="preserve">Effective date.</w:t>
        <w:t xml:space="preserve"> </w:t>
      </w:r>
      <w:r>
        <w:t xml:space="preserve"> </w:t>
      </w:r>
      <w:r>
        <w:t xml:space="preserve">This section takes effect January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Children's guardians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Children's guardians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§1552. CHILDREN'S GUARDIANS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