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Legislative findings and intent</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the State owes a great debt to its retired judges for their years of faithful and productive service. Part of that debt is repaid by the benefits provided to judges through the Judicial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§44 (AMD).]</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that there is appropriated and transferred annually to the Judicial Retirement Program the funds necessary to meet the program's long-term and short-term financial obligations based on the actuarial assumptions established by the board of trustees upon the advice of the actuary. The goal of the actuarial assumptions is to achieve a fully funded program. The program's unfunded liability for members formerly subject to sections 5, 103 and 157-A, is funded by annual appropriations over the funding period of the program. This section does not apply to justices and judges who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§44 (AMD).]</w:t>
      </w:r>
    </w:p>
    <w:p>
      <w:pPr>
        <w:jc w:val="both"/>
        <w:spacing w:before="100" w:after="0"/>
        <w:ind w:start="360"/>
        <w:ind w:firstLine="360"/>
      </w:pPr>
      <w:r>
        <w:rPr>
          <w:b/>
        </w:rPr>
        <w:t>3</w:t>
        <w:t xml:space="preserve">.  </w:t>
      </w:r>
      <w:r>
        <w:rPr>
          <w:b/>
        </w:rPr>
        <w:t xml:space="preserve">Implementation.</w:t>
        <w:t xml:space="preserve"> </w:t>
      </w:r>
      <w:r>
        <w:t xml:space="preserve"> </w:t>
      </w:r>
      <w:r>
        <w:t xml:space="preserve">It is the responsibility of the board of trustees to calculate the funds necessary to maintain the program on an actuarially sound basis, including the unfunded liability arising from payment of benefits for which contributions were not received and to transmit those calculations to the State Budget Officer as required by </w:t>
      </w:r>
      <w:r>
        <w:t>Title 5, sections 1661</w:t>
      </w:r>
      <w:r>
        <w:t xml:space="preserve"> to </w:t>
      </w:r>
      <w:r>
        <w:t>1667</w:t>
      </w:r>
      <w:r>
        <w:t xml:space="preserve">. It is the responsibility of the Legislature to appropriate and transfer those funds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§§B17,B45 (AMD). PL 2007, c. 491,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§1255.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§1255.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