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490-K</w:t>
        <w:t xml:space="preserve">.  </w:t>
      </w:r>
      <w:r>
        <w:rPr>
          <w:b/>
        </w:rPr>
        <w:t xml:space="preserve">Transfer of ownership or operation</w:t>
      </w:r>
    </w:p>
    <w:p>
      <w:pPr>
        <w:jc w:val="both"/>
        <w:spacing w:before="100" w:after="100"/>
        <w:ind w:start="360"/>
        <w:ind w:firstLine="360"/>
      </w:pPr>
      <w:r>
        <w:rPr/>
      </w:r>
      <w:r>
        <w:rPr/>
      </w:r>
      <w:r>
        <w:t xml:space="preserve">A person who purchases an excavation that is operated under a notice of intent to comply or who obtains operating authority of an excavation that operates under a notice of intent to comply must file within 2 weeks after the purchase or the obtaining of operating authority a notice of intent to comply on a form developed by the department.  The new owner or operator may operate the excavation during this 2-week period without having filed a notice of intent to comply, providing the new owner or operator complies with all standards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700,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§17 (NEW). PL 1995, c. 700,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§490-K. Transfer of ownership or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§490-K. Transfer of ownership or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§490-K. TRANSFER OF OWNERSHIP OR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