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490-DD</w:t>
        <w:t xml:space="preserve">.  </w:t>
      </w:r>
      <w:r>
        <w:rPr>
          <w:b/>
        </w:rPr>
        <w:t xml:space="preserve">Municipal enforcement; registration</w:t>
      </w:r>
    </w:p>
    <w:p>
      <w:pPr>
        <w:jc w:val="both"/>
        <w:spacing w:before="100" w:after="100"/>
        <w:ind w:start="360"/>
        <w:ind w:firstLine="360"/>
      </w:pPr>
      <w:r>
        <w:rPr/>
      </w:r>
      <w:r>
        <w:rPr/>
      </w:r>
      <w:r>
        <w:t xml:space="preserve">A municipality may register for authority to enforce this article by adopting and submitting to the commissioner an ordinance that meets or exceeds the provisions of this article.  The commissioner shall review that ordinance to determine whether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the variance is valid.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This section may not be construed to limit a municipality's authority under home rule to adopt ordinances regulating quarries.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This article may not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§490-DD. Municipal enforcement;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§490-DD. Municipal enforcement;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§490-DD. MUNICIPAL ENFORCEMENT;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