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480-EE</w:t>
        <w:t xml:space="preserve">.  </w:t>
      </w:r>
      <w:r>
        <w:rPr>
          <w:b/>
        </w:rPr>
        <w:t xml:space="preserve">Significant wildlife habitat criteria; inland open water</w:t>
      </w:r>
    </w:p>
    <w:p>
      <w:pPr>
        <w:jc w:val="both"/>
        <w:spacing w:before="100" w:after="100"/>
        <w:ind w:start="360"/>
        <w:ind w:firstLine="360"/>
      </w:pPr>
      <w:r>
        <w:rPr/>
      </w:r>
      <w:r>
        <w:rPr/>
      </w:r>
      <w:r>
        <w:t xml:space="preserve">Regardless of its identification on maps as a high or moderate value waterfowl and wading bird habitat, an upland area adjacent to a great pond is not considered high or moderate value waterfowl and wading bird habitat for purposes of this article unless the upland area is within 250 feet of one or more freshwater wetlands that are high or moderate value waterfowl and wading bird habitat.</w:t>
      </w:r>
      <w:r>
        <w:t xml:space="preserve">  </w:t>
      </w:r>
      <w:r xmlns:wp="http://schemas.openxmlformats.org/drawingml/2010/wordprocessingDrawing" xmlns:w15="http://schemas.microsoft.com/office/word/2012/wordml">
        <w:rPr>
          <w:rFonts w:ascii="Arial" w:hAnsi="Arial" w:cs="Arial"/>
          <w:sz w:val="22"/>
          <w:szCs w:val="22"/>
        </w:rPr>
        <w:t xml:space="preserve">[PL 2007, c. 290, §9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§9 (NEW). PL 2007, c. 290,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§480-EE. Significant wildlife habitat criteria; inland open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§480-EE. Significant wildlife habitat criteria; inland open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§480-EE. SIGNIFICANT WILDLIFE HABITAT CRITERIA; INLAND OPEN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