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 PERMIT PROCESSING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