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Forms filed; right of entry; furnishing information</w:t>
      </w:r>
    </w:p>
    <w:p>
      <w:pPr>
        <w:jc w:val="both"/>
        <w:spacing w:before="100" w:after="100"/>
        <w:ind w:start="360"/>
        <w:ind w:firstLine="360"/>
      </w:pPr>
      <w:r>
        <w:rPr/>
      </w:r>
      <w:r>
        <w:rPr/>
      </w:r>
      <w:r>
        <w:t xml:space="preserve">Persons, firms, corporations, quasi-municipal corporations, municipalities, state agencies and other legal entities shall file with the commissioner information relative to their present method of collection, disposal, composition and volume of all wastes discharged by them into any waters of the State, in a manner and on forms prescribed by the commissioner, within 30 days of receipt of those forms.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§6 (AMD). PL 1971, c. 618, §12 (AMD). PL 1989, c. 890, §§A40,B53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 Forms filed; right of entry; furnishing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Forms filed; right of entry; furnishing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§452. FORMS FILED; RIGHT OF ENTRY; FURNISHING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