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2233</w:t>
        <w:t xml:space="preserve">.  </w:t>
      </w:r>
      <w:r>
        <w:rPr>
          <w:b/>
        </w:rPr>
        <w:t xml:space="preserve">Civil violation</w:t>
      </w:r>
    </w:p>
    <w:p>
      <w:pPr>
        <w:jc w:val="both"/>
        <w:spacing w:before="100" w:after="100"/>
        <w:ind w:start="360"/>
        <w:ind w:firstLine="360"/>
      </w:pPr>
      <w:r>
        <w:rPr/>
      </w:r>
      <w:r>
        <w:rPr/>
      </w:r>
      <w:r>
        <w:t xml:space="preserve">A person that violates any requirement of </w:t>
      </w:r>
      <w:r>
        <w:t>section 2232</w:t>
      </w:r>
      <w:r>
        <w:t xml:space="preserve"> commits a civil violation for which a forfeiture not to exceed $200 may be adjudged.  Each day of a violation is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1991, c. 676,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§2233.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§2233.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§2233.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