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2232</w:t>
        <w:t xml:space="preserve">.  </w:t>
      </w:r>
      <w:r>
        <w:rPr>
          <w:b/>
        </w:rPr>
        <w:t xml:space="preserve">Reporting</w:t>
      </w:r>
    </w:p>
    <w:p>
      <w:pPr>
        <w:jc w:val="both"/>
        <w:spacing w:before="100" w:after="100"/>
        <w:ind w:start="360"/>
        <w:ind w:firstLine="360"/>
      </w:pPr>
      <w:r>
        <w:rPr/>
      </w:r>
      <w:r>
        <w:rPr/>
      </w:r>
      <w:r>
        <w:t xml:space="preserve">An incineration facility shall submit an annual report to the department no later than 90 days after the end of the incineration facility's fiscal year.  For reasonable cause shown and upon written application by an incineration facility, the department may grant an extension of the 90-day period.  The report must be certified by an appropriate executive officer of the incineration facility as being complete and accurate.  The department may prescribe the form of the annual report and the number of copies that must be submitted.  The report must include the following information:</w:t>
      </w:r>
      <w:r>
        <w:t xml:space="preserve">  </w:t>
      </w:r>
      <w:r xmlns:wp="http://schemas.openxmlformats.org/drawingml/2010/wordprocessingDrawing" xmlns:w15="http://schemas.microsoft.com/office/word/2012/wordml">
        <w:rPr>
          <w:rFonts w:ascii="Arial" w:hAnsi="Arial" w:cs="Arial"/>
          <w:sz w:val="22"/>
          <w:szCs w:val="22"/>
        </w:rPr>
        <w:t xml:space="preserve">[PL 2011, c. 655, Pt. GG, §65 (AMD); PL 2011, c. 655, Pt. GG, §70 (AFF).]</w:t>
      </w:r>
    </w:p>
    <w:p>
      <w:pPr>
        <w:jc w:val="both"/>
        <w:spacing w:before="100" w:after="0"/>
        <w:ind w:start="360"/>
        <w:ind w:firstLine="360"/>
      </w:pPr>
      <w:r>
        <w:rPr>
          <w:b/>
        </w:rPr>
        <w:t>1</w:t>
        <w:t xml:space="preserve">.  </w:t>
      </w:r>
      <w:r>
        <w:rPr>
          <w:b/>
        </w:rPr>
        <w:t xml:space="preserve">Waste.</w:t>
        <w:t xml:space="preserve"> </w:t>
      </w:r>
      <w:r>
        <w:t xml:space="preserve"> </w:t>
      </w:r>
      <w:r>
        <w:t xml:space="preserve">The total weight in tons of all solid waste received by the incineration facility in the last completed fiscal year and each month of that year and a breakdown of these totals according to the waste 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676, §1 (NEW).]</w:t>
      </w:r>
    </w:p>
    <w:p>
      <w:pPr>
        <w:jc w:val="both"/>
        <w:spacing w:before="100" w:after="0"/>
        <w:ind w:start="360"/>
        <w:ind w:firstLine="360"/>
      </w:pPr>
      <w:r>
        <w:rPr>
          <w:b/>
        </w:rPr>
        <w:t>2</w:t>
        <w:t xml:space="preserve">.  </w:t>
      </w:r>
      <w:r>
        <w:rPr>
          <w:b/>
        </w:rPr>
        <w:t xml:space="preserve">Tipping fee.</w:t>
        <w:t xml:space="preserve"> </w:t>
      </w:r>
      <w:r>
        <w:t xml:space="preserve"> </w:t>
      </w:r>
      <w:r>
        <w:t xml:space="preserve">A schedule of various tipping fees imposed by the incineration facility on the incineration facility's municipal and commercial customers over the last completed fiscal year including an identification of all changes in those fees and a similar schedule of fees to be imposed on municipal and commercial customers for the next fiscal year.  The tipping fees for commercial customers must be set out separately by each rate charged to each category of commercial customer;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676, §1 (NEW).]</w:t>
      </w:r>
    </w:p>
    <w:p>
      <w:pPr>
        <w:jc w:val="both"/>
        <w:spacing w:before="100" w:after="0"/>
        <w:ind w:start="360"/>
        <w:ind w:firstLine="360"/>
      </w:pPr>
      <w:r>
        <w:rPr>
          <w:b/>
        </w:rPr>
        <w:t>3</w:t>
        <w:t xml:space="preserve">.  </w:t>
      </w:r>
      <w:r>
        <w:rPr>
          <w:b/>
        </w:rPr>
        <w:t xml:space="preserve">Revenue.</w:t>
        <w:t xml:space="preserve"> </w:t>
      </w:r>
      <w:r>
        <w:t xml:space="preserve"> </w:t>
      </w:r>
      <w:r>
        <w:t xml:space="preserve">The total revenue of the incineration facility from all sources for the last completed fiscal year and each month of that year.  Revenue figures must identify revenues from each revenue source, including, but not limited to, tipping fees and any revenue from sales of electricity to transmission and distribution utilities;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657, §27 (AMD).]</w:t>
      </w:r>
    </w:p>
    <w:p>
      <w:pPr>
        <w:jc w:val="both"/>
        <w:spacing w:before="100" w:after="0"/>
        <w:ind w:start="360"/>
        <w:ind w:firstLine="360"/>
      </w:pPr>
      <w:r>
        <w:rPr>
          <w:b/>
        </w:rPr>
        <w:t>4</w:t>
        <w:t xml:space="preserve">.  </w:t>
      </w:r>
      <w:r>
        <w:rPr>
          <w:b/>
        </w:rPr>
        <w:t xml:space="preserve">Expenditures.</w:t>
        <w:t xml:space="preserve"> </w:t>
      </w:r>
      <w:r>
        <w:t xml:space="preserve"> </w:t>
      </w:r>
      <w:r>
        <w:t xml:space="preserve">The total expenditures of the incineration facility during the last completed fiscal year including details of those expenditures as required by the department;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GG, §66 (AMD); PL 2011, c. 655, Pt. GG, §70 (AFF).]</w:t>
      </w:r>
    </w:p>
    <w:p>
      <w:pPr>
        <w:jc w:val="both"/>
        <w:spacing w:before="100" w:after="0"/>
        <w:ind w:start="360"/>
        <w:ind w:firstLine="360"/>
      </w:pPr>
      <w:r>
        <w:rPr>
          <w:b/>
        </w:rPr>
        <w:t>5</w:t>
        <w:t xml:space="preserve">.  </w:t>
      </w:r>
      <w:r>
        <w:rPr>
          <w:b/>
        </w:rPr>
        <w:t xml:space="preserve">Other information.</w:t>
        <w:t xml:space="preserve"> </w:t>
      </w:r>
      <w:r>
        <w:t xml:space="preserve"> </w:t>
      </w:r>
      <w:r>
        <w:t xml:space="preserve">Any other information required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GG, §66 (AMD); PL 2011, c. 655, Pt. GG, §70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676, §1 (NEW). PL 1995, c. 656, §§A65,66 (AMD). PL 1999, c. 657, §27 (AMD). PL 2011, c. 655, Pt. GG, §§65, 66 (AMD). PL 2011, c. 655, Pt. GG, §70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§2232. Reporting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§2232. Reporting</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§2232. REPORTING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