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agency may provide, at one time or from time to time, for the issuance of revenue obligation securities of the agency for the purposes authorized in this chapter.  No revenue obligation securities of the agency may be issued until:</w:t>
      </w:r>
    </w:p>
    <w:p>
      <w:pPr>
        <w:jc w:val="both"/>
        <w:spacing w:before="100" w:after="0"/>
        <w:ind w:start="720"/>
      </w:pPr>
      <w:r>
        <w:rPr/>
        <w:t>A</w:t>
        <w:t xml:space="preserve">.  </w:t>
      </w:r>
      <w:r>
        <w:rPr/>
      </w:r>
      <w:r>
        <w:t xml:space="preserve">The project has been determined to be consistent with the state plan pursuant to </w:t>
      </w:r>
      <w:r>
        <w:t>section 1310‑AA</w:t>
      </w:r>
      <w:r>
        <w:t xml:space="preserve">, if applicable, and the necessary permits have been obtained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465, Pt. A, §78 (AMD); PL 1995, c. 465, Pt. C, §2 (AFF).]</w:t>
      </w:r>
    </w:p>
    <w:p>
      <w:pPr>
        <w:jc w:val="both"/>
        <w:spacing w:before="100" w:after="0"/>
        <w:ind w:start="720"/>
      </w:pPr>
      <w:r>
        <w:rPr/>
        <w:t>B</w:t>
        <w:t xml:space="preserve">.  </w:t>
      </w:r>
      <w:r>
        <w:rPr/>
      </w:r>
      <w:r>
        <w:t xml:space="preserve">A notice of the intent of the agency to issue the securities is published at least once in a newspaper of general circulation in the region in which the project is to be located:</w:t>
      </w:r>
    </w:p>
    <w:p>
      <w:pPr>
        <w:jc w:val="both"/>
        <w:spacing w:before="100" w:after="0"/>
        <w:ind w:start="1080"/>
      </w:pPr>
      <w:r>
        <w:rPr/>
        <w:t>(</w:t>
        <w:t>1</w:t>
        <w:t xml:space="preserve">)  </w:t>
      </w:r>
      <w:r>
        <w:rPr/>
      </w:r>
      <w:r>
        <w:t xml:space="preserve">No later than 14 days after the date on which the agency decides to issue revenue obligation securities under this subchapter;</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 and</w:t>
      </w:r>
    </w:p>
    <w:p>
      <w:pPr>
        <w:jc w:val="both"/>
        <w:spacing w:before="100" w:after="0"/>
        <w:ind w:start="1080"/>
      </w:pPr>
      <w:r>
        <w:rPr/>
        <w:t>(</w:t>
        <w:t>4</w:t>
        <w:t xml:space="preserve">)  </w:t>
      </w:r>
      <w:r>
        <w:rPr/>
      </w:r>
      <w:r>
        <w:t xml:space="preserve">Including a statement as to the time within which any petition to contest the issuance of the securities must be commenced.</w:t>
      </w:r>
      <w:r>
        <w:t xml:space="preserve">  </w:t>
      </w:r>
      <w:r xmlns:wp="http://schemas.openxmlformats.org/drawingml/2010/wordprocessingDrawing" xmlns:w15="http://schemas.microsoft.com/office/word/2012/wordml">
        <w:rPr>
          <w:rFonts w:ascii="Arial" w:hAnsi="Arial" w:cs="Arial"/>
          <w:sz w:val="22"/>
          <w:szCs w:val="22"/>
        </w:rPr>
        <w:t xml:space="preserve">[PL 1989, c. 585, Pt. A, §7 (NEW); PL 1989, c. 869, Pt. A, §16 (AMD).]</w:t>
      </w:r>
    </w:p>
    <w:p>
      <w:pPr>
        <w:jc w:val="both"/>
        <w:spacing w:before="100" w:after="0"/>
        <w:ind w:start="360"/>
      </w:pPr>
      <w:r>
        <w:rPr/>
      </w:r>
      <w:r>
        <w:rPr/>
      </w:r>
      <w:r>
        <w:t xml:space="preserve">Any action or proceeding in any court to contest the issuance of the securities must be started within 30 days after the date of the publication required by </w:t>
      </w:r>
      <w:r>
        <w:t>paragraph B</w:t>
      </w:r>
      <w:r>
        <w:t xml:space="preserve"> and otherwise shall be governed by </w:t>
      </w:r>
      <w:r>
        <w:t>Title 5, chapter 375, subchapter VII</w:t>
      </w:r>
      <w:r>
        <w:t xml:space="preserve">.  For the purposes of this subchapter and the Maine Administrative Procedure Act, </w:t>
      </w:r>
      <w:r>
        <w:t>Title 5, chapter 375</w:t>
      </w:r>
      <w:r>
        <w:t xml:space="preserve">, the later date of newspaper publication required by </w:t>
      </w:r>
      <w:r>
        <w:t>paragraph B</w:t>
      </w:r>
      <w:r>
        <w:t xml:space="preserve"> shall constitute the final agency action with respect to the issuance of the securities.  After the expiration of the 30-day period of limitation, no right of action or defense founded upon the invalidity of the issuance of the securities may be opened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§78 (AMD); PL 1995, c. 465, Pt. C, §2 (AFF).]</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agency, act as the agency's agent for the sale and delivery of revenue obligation securities and anticipatory notes.  The Treasurer of State shall assist the agency in the preparation, issuance, negotiation and sale of the securities and notes and provide reasonable advice and management assistance.  The agency may employ further counsel or assistants or act in its own behalf, provided that the sale and delivery of revenue obligation securities and anticipatory notes shall be carried out at the agency's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Conclusive authorization.</w:t>
        <w:t xml:space="preserve"> </w:t>
      </w:r>
      <w:r>
        <w:t xml:space="preserve"> </w:t>
      </w:r>
      <w:r>
        <w:t xml:space="preserve">All revenue obligation securities of the agency shall be conclusively presumed to be fully authorized and issued under the laws of the State, and any person or governmental unit shall be estopped from questioning their authorization, sale, issuance, execution or delivery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Maturity; interest.</w:t>
        <w:t xml:space="preserve"> </w:t>
      </w:r>
      <w:r>
        <w:t xml:space="preserve"> </w:t>
      </w:r>
      <w:r>
        <w:t xml:space="preserve">The securities of each issue of revenue obligation securities shall be dated, mature at a time or times not exceeding 20 years from the date of the securities and bear interest at a rate or rates determined by the agency.  At the option of the agency, the securities may be made redeemable before maturity at a price or prices and under terms and conditions fixed prior to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Form.</w:t>
        <w:t xml:space="preserve"> </w:t>
      </w:r>
      <w:r>
        <w:t xml:space="preserve"> </w:t>
      </w:r>
      <w:r>
        <w:t xml:space="preserve">The agency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shall be executed in the name of the agency by the manual or facsimile signature of the authorized official or officials.  Any attached coupons shall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agency may determine.  Provision may be made for the registration of any coupon securities to principal alone and to both principal and interest, and for the reconversion into coupon securities of any securities registered to both principal and interest.  In addition to this subsection, the agency may provide for transfer of registration of the agency's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shall be payable to the registered owner shown in the book entry, the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Sale.</w:t>
        <w:t xml:space="preserve"> </w:t>
      </w:r>
      <w:r>
        <w:t xml:space="preserve"> </w:t>
      </w:r>
      <w:r>
        <w:t xml:space="preserve">The agency may sell the securities at a public or private sale, in a manner and at a price the agency determines to be in the best interest of the agency.  The agency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agency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agency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other document, the additional securities are deemed to be of the same issue and shall be entitled to payment from the same fund without preference or priority of the securities first issued for the same purpose.  The agency may place limits or restrictions on the issuance of additional revenue obligation securities through the securing trust agreement or other document.  The agency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occurrence of any conditions or things other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Credit not pledged.</w:t>
        <w:t xml:space="preserve"> </w:t>
      </w:r>
      <w:r>
        <w:t xml:space="preserve"> </w:t>
      </w:r>
      <w:r>
        <w:t xml:space="preserve">Except as provided in this subsection, securities issued under this subchapter shall not constitute any debt or liability of the State or of any municipality in the State or any political subdivision of the State, or of the agency or a pledge of the faith and credit of the State or of any such municipality or political subdivision, but shall be payable solely from the revenues of the project or projects for which the securities are issued or from other eligible collateral or the revenues or proceeds of other eligible collateral pledged to the payment of the revenue obligation securities and all such securities shall contain on the securities' face a statement to that effect.  The issuance of securities under this subchapter shall not directly or indirectly or contingently obligate the State or any municipality or political subdivision to levy or to pledge any form of taxation whatever or to make any appropriation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Anticipatory borrowing.</w:t>
        <w:t xml:space="preserve"> </w:t>
      </w:r>
      <w:r>
        <w:t xml:space="preserve"> </w:t>
      </w:r>
      <w:r>
        <w:t xml:space="preserve">In anticipation of the sale of securities under this article, the agency may issue temporary notes and renewal notes, the total face amount of which does not exceed at any one time outstanding the authorized amount of the securities.  The period of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Environmental protection.</w:t>
        <w:t xml:space="preserve"> </w:t>
      </w:r>
      <w:r>
        <w:t xml:space="preserve"> </w:t>
      </w:r>
      <w:r>
        <w:t xml:space="preserve">Revenue obligation securities of the agency may not be issued for a project until the commissioner certifies to the agency that all licenses required by the department with respect to the project are issued or that none are required.  Any subsequent enlargement or addition to the project for which approval is sought from the agency requires certification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§A16 (AMD). PL 1989, c. 890, §§A40,B295 (AMD). PL 1995, c. 465, §A78 (AMD).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§2213.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§2213.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