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Indemnification</w:t>
      </w:r>
    </w:p>
    <w:p>
      <w:pPr>
        <w:jc w:val="both"/>
        <w:spacing w:before="100" w:after="100"/>
        <w:ind w:start="360"/>
        <w:ind w:firstLine="360"/>
      </w:pPr>
      <w:r>
        <w:rPr/>
      </w:r>
      <w:r>
        <w:rPr/>
      </w:r>
      <w:r>
        <w:t xml:space="preserve">The department shall defend and indemnify any employee of the bureau and any former employee of the former State Planning Office including the director and any member of the former Facility Siting Board against expenses actually and necessarily incurred by the person in connection with the defense of any action or proceeding in which the person is made party by reason of past or present association with the bureau or former State Planning Office with regard to the powers and duties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655, Pt. GG, §38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§A60 (NEW). PL 1995, c. 465, §C2 (AFF). PL 2011, c. 655, Pt. GG, §38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§2151-A.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§2151-A.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