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2124-A</w:t>
        <w:t xml:space="preserve">.  </w:t>
      </w:r>
      <w:r>
        <w:rPr>
          <w:b/>
        </w:rPr>
        <w:t xml:space="preserve">Solid waste generation and disposal capacity report</w:t>
      </w:r>
    </w:p>
    <w:p>
      <w:pPr>
        <w:jc w:val="both"/>
        <w:spacing w:before="100" w:after="100"/>
        <w:ind w:start="360"/>
        <w:ind w:firstLine="360"/>
      </w:pPr>
      <w:r>
        <w:rPr/>
      </w:r>
      <w:r>
        <w:rPr/>
      </w:r>
      <w:r>
        <w:t xml:space="preserve">On or before January 15, 2026 and annually thereafter, the department shall submit a report to the joint standing committee of the Legislature having jurisdiction over environment and natural resources matters setting forth information on statewide generation of solid waste, statewide recycling rates and available disposal capacity for solid waste as provided in subsection 1.</w:t>
      </w:r>
      <w:r>
        <w:t xml:space="preserve">  </w:t>
      </w:r>
      <w:r xmlns:wp="http://schemas.openxmlformats.org/drawingml/2010/wordprocessingDrawing" xmlns:w15="http://schemas.microsoft.com/office/word/2012/wordml">
        <w:rPr>
          <w:rFonts w:ascii="Arial" w:hAnsi="Arial" w:cs="Arial"/>
          <w:sz w:val="22"/>
          <w:szCs w:val="22"/>
        </w:rPr>
        <w:t xml:space="preserve">[PL 2023, c. 331, §1 (RPR).]</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report submitted pursuant to this section must include, but is not limited to:</w:t>
      </w:r>
    </w:p>
    <w:p>
      <w:pPr>
        <w:jc w:val="both"/>
        <w:spacing w:before="100" w:after="0"/>
        <w:ind w:start="720"/>
      </w:pPr>
      <w:r>
        <w:rPr/>
        <w:t>A</w:t>
        <w:t xml:space="preserve">.  </w:t>
      </w:r>
      <w:r>
        <w:rPr/>
      </w:r>
      <w:r>
        <w:t xml:space="preserve">Information on the total amount and disposition of municipal solid waste and construction and demolition debris generated in the State, including information on the total amount and disposition of any such waste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B</w:t>
        <w:t xml:space="preserve">.  </w:t>
      </w:r>
      <w:r>
        <w:rPr/>
      </w:r>
      <w:r>
        <w:t xml:space="preserve">Information on the total amount and disposition of municipal solid waste and construction and demolition debris generated outside the State and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C</w:t>
        <w:t xml:space="preserve">.  </w:t>
      </w:r>
      <w:r>
        <w:rPr/>
      </w:r>
      <w:r>
        <w:t xml:space="preserve">Information on the total amount of municipal solid waste and construction and demolition debris diverted from disposal;</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D</w:t>
        <w:t xml:space="preserve">.  </w:t>
      </w:r>
      <w:r>
        <w:rPr/>
      </w:r>
      <w:r>
        <w:t xml:space="preserve">Information on the total amount of municipal solid waste and construction and demolition debris disposed of at each waste disposal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E</w:t>
        <w:t xml:space="preserve">.  </w:t>
      </w:r>
      <w:r>
        <w:rPr/>
      </w:r>
      <w:r>
        <w:t xml:space="preserve">A summary of the volume of licensed capacity at each waste disposal facility in the State that is authorized and, of that authorized volume, the amount of licensed capacity that is in use and the amount not in use; and</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F</w:t>
        <w:t xml:space="preserve">.  </w:t>
      </w:r>
      <w:r>
        <w:rPr/>
      </w:r>
      <w:r>
        <w:t xml:space="preserve">Any recommendations for necessary legislative or regulatory changes regarding the management of solid waste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w:pPr>
        <w:jc w:val="both"/>
        <w:spacing w:before="100" w:after="0"/>
        <w:ind w:start="360"/>
        <w:ind w:firstLine="360"/>
      </w:pPr>
      <w:r>
        <w:rPr>
          <w:b/>
        </w:rPr>
        <w:t>2</w:t>
        <w:t xml:space="preserve">.  </w:t>
      </w:r>
      <w:r>
        <w:rPr>
          <w:b/>
        </w:rPr>
        <w:t xml:space="preserve">Authority for legislation.</w:t>
        <w:t xml:space="preserve"> </w:t>
      </w:r>
      <w:r>
        <w:t xml:space="preserve"> </w:t>
      </w:r>
      <w:r>
        <w:t xml:space="preserve">After reviewing the report submitted by the department pursuant to this section, the joint standing committee of the Legislature having jurisdiction over environment and natural resources matters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§4 (NEW). PL 2003, c. 338, §2 (AMD). PL 2007, c. 192, §5 (AMD). PL 2007, c. 583, §8 (AMD). PL 2011, c. 655, Pt. GG, §31 (AMD). PL 2011, c. 655, Pt. GG, §70 (AFF). PL 2013, c. 300, §§19, 20 (AMD). PL 2017, c. 376, §2 (AMD). PL 2019, c. 291, Pt. B, §3 (AMD). PL 2023, c. 331,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§2124-A. Solid waste generation and disposal capacity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§2124-A. Solid waste generation and disposal capacity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§2124-A. SOLID WASTE GENERATION AND DISPOSAL CAPACITY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