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where more than one is involved, or of the unorganized territory within the proposed sanitary district, have voted upon the formation of a proposed sanitary district and all of the other questions submitted therewith, the clerk of each of the municipalities, and, where the proposed district includes unorganized territory, the county clerk, shall make a return to the Commissioner of Environmental Protection in such form as the commissioner shall determine. If the commissioner finds from the returns that a majority of the residents within each of the municipalities involved, and, where the proposed district includes unorganized territory, that a majority of the residents of the unorganized territory within the proposed sanitary district, voting on each of the articles and questions submitted to them, have voted in the affirmative, and they have elected the necessary trustees and the names thereof to represent each municipality, or the residents of the unorganized territory within the proposed sanitary district, and that all other steps in the formation of the proposed sanitary district are in order and in conformity with law, the commissioner shall make a finding to that effect and record the same upon the department's records. The commissioner shall, immediately after making these findings, issue a certificate of organization in the name of the sanitary district in such form as the commission shall determine. The original certificate must be delivered to the trustees on the day that they are directed to organize and a copy of the certificate duly attested by the commissioner must be filed and recorded in the Office of the Secretary of State. The issuance of a certificate by the commissioner is conclusive evidence of the lawful organization of the sanitary district. The sanitary district is not operative until the date set by the commissioner under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§3 (AMD). PL 1969, c. 431, §9 (AMD). PL 1971, c. 400, §3 (RPR). PL 1971, c. 618, §12 (AMD). PL 1973, c. 537, §43 (AMD). PL 1989, c. 890, §§A40,B213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§1102.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