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 or</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B, §1 (AMD).]</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Title 30‑A, former section 5254, subsection 1 and allocated to the municipality for the municipality's own authorized project costs as provided in Title 30‑A,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B, §§1, 2 (AMD).]</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section 656, subsection 1, paragraph 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§691. Definitions; exemption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Definitions; exemption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§691. DEFINITIONS; EXEMPTION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