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6761</w:t>
        <w:t xml:space="preserve">.  </w:t>
      </w:r>
      <w:r>
        <w:rPr>
          <w:b/>
        </w:rPr>
        <w:t xml:space="preserve">Audit process</w:t>
      </w:r>
    </w:p>
    <w:p>
      <w:pPr>
        <w:jc w:val="both"/>
        <w:spacing w:before="100" w:after="100"/>
        <w:ind w:start="360"/>
        <w:ind w:firstLine="360"/>
      </w:pPr>
      <w:r>
        <w:rPr/>
      </w:r>
      <w:r>
        <w:rPr/>
      </w:r>
      <w:r>
        <w:t xml:space="preserve">This chapter may not be construed to limit the authority of the State Tax Assessor to conduct an audit of a qualified business.  When it is determined by the State Tax Assessor upon audit that a qualified business has received a distribution larger than that to which it is entitled under this chapter, the overpayment must be applied against subsequent distributions, unless it is determined that the overpayment is the result of fraud on the part of the qualified business, in which case the State Tax Assessor may disqualify the business from receiving any future distributions.  When there is no subsequent distribution, the qualified business to which overpayments were made is liable for the amount of the overpayments and may be assessed pursuant to provisions of </w:t>
      </w:r>
      <w:r>
        <w:t>Part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§6761. Audit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§6761. Audit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§6761. AUDIT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