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581-G</w:t>
        <w:t xml:space="preserve">.  </w:t>
      </w:r>
      <w:r>
        <w:rPr>
          <w:b/>
        </w:rPr>
        <w:t xml:space="preserve">Report to Bureau of Forestry</w:t>
      </w:r>
    </w:p>
    <w:p>
      <w:pPr>
        <w:jc w:val="both"/>
        <w:spacing w:before="100" w:after="100"/>
        <w:ind w:start="360"/>
        <w:ind w:firstLine="360"/>
      </w:pPr>
      <w:r>
        <w:rPr>
          <w:b/>
        </w:rPr>
        <w:t>1</w:t>
        <w:t xml:space="preserve">.  </w:t>
      </w:r>
      <w:r>
        <w:rPr>
          <w:b/>
        </w:rPr>
        <w:t xml:space="preserve">Municipal report.</w:t>
        <w:t xml:space="preserve"> </w:t>
      </w:r>
      <w:r>
        <w:t xml:space="preserve"> </w:t>
      </w:r>
      <w:r>
        <w:t xml:space="preserve">The municipal assessor or chief assessor of a primary assessing area shall report annually to the Department of Agriculture, Conservation and Forestry, Bureau of Forestry by November 1st or 30 days following the tax commitment date, whichever is sooner, the following information relating to land taxed according to this subchapter:</w:t>
      </w:r>
    </w:p>
    <w:p>
      <w:pPr>
        <w:jc w:val="both"/>
        <w:spacing w:before="100" w:after="0"/>
        <w:ind w:start="720"/>
      </w:pPr>
      <w:r>
        <w:rPr/>
        <w:t>A</w:t>
        <w:t xml:space="preserve">.  </w:t>
      </w:r>
      <w:r>
        <w:rPr/>
      </w:r>
      <w:r>
        <w:t xml:space="preserve">The names and addresses of forest landowners;</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B</w:t>
        <w:t xml:space="preserve">.  </w:t>
      </w:r>
      <w:r>
        <w:rPr/>
      </w:r>
      <w:r>
        <w:t xml:space="preserve">The total number of acres taxed pursuant to this subchapter, including a breakdown of forest type, by softwood, mixed wood and hardwood;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C</w:t>
        <w:t xml:space="preserve">.  </w:t>
      </w:r>
      <w:r>
        <w:rPr/>
      </w:r>
      <w:r>
        <w:t xml:space="preserve">The year each parcel was first accepted for taxation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D</w:t>
        <w:t xml:space="preserve">.  </w:t>
      </w:r>
      <w:r>
        <w:rPr/>
      </w:r>
      <w:r>
        <w:t xml:space="preserve">The year of the most recent recertification of each parcel; and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w:pPr>
        <w:jc w:val="both"/>
        <w:spacing w:before="100" w:after="0"/>
        <w:ind w:start="720"/>
      </w:pPr>
      <w:r>
        <w:rPr/>
        <w:t>E</w:t>
        <w:t xml:space="preserve">.  </w:t>
      </w:r>
      <w:r>
        <w:rPr/>
      </w:r>
      <w:r>
        <w:t xml:space="preserve">The tax map number, plan number and lot number for each parcel listed.</w:t>
      </w:r>
      <w:r>
        <w:t xml:space="preserve">  </w:t>
      </w:r>
      <w:r xmlns:wp="http://schemas.openxmlformats.org/drawingml/2010/wordprocessingDrawing" xmlns:w15="http://schemas.microsoft.com/office/word/2012/wordml">
        <w:rPr>
          <w:rFonts w:ascii="Arial" w:hAnsi="Arial" w:cs="Arial"/>
          <w:sz w:val="22"/>
          <w:szCs w:val="22"/>
        </w:rPr>
        <w:t xml:space="preserve">[PL 2005, c. 358,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2</w:t>
        <w:t xml:space="preserve">.  </w:t>
      </w:r>
      <w:r>
        <w:rPr>
          <w:b/>
        </w:rPr>
        <w:t xml:space="preserve">Forms.</w:t>
        <w:t xml:space="preserve"> </w:t>
      </w:r>
      <w:r>
        <w:t xml:space="preserve"> </w:t>
      </w:r>
      <w:r>
        <w:t xml:space="preserve">The Department of Agriculture, Conservation and Forestry, Bureau of Forestry shall annually provide municipalities with forms for submitting the information required under </w:t>
      </w:r>
      <w:r>
        <w:t>subsection 1</w:t>
      </w:r>
      <w:r>
        <w:t xml:space="preserve">. To the extent that the Bureau of Forestry has the required information, the Bureau of Forestry shall include that information on the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w:pPr>
        <w:jc w:val="both"/>
        <w:spacing w:before="100" w:after="0"/>
        <w:ind w:start="360"/>
        <w:ind w:firstLine="360"/>
      </w:pPr>
      <w:r>
        <w:rPr>
          <w:b/>
        </w:rPr>
        <w:t>3</w:t>
        <w:t xml:space="preserve">.  </w:t>
      </w:r>
      <w:r>
        <w:rPr>
          <w:b/>
        </w:rPr>
        <w:t xml:space="preserve">Confidentiality.</w:t>
        <w:t xml:space="preserve"> </w:t>
      </w:r>
      <w:r>
        <w:t xml:space="preserve"> </w:t>
      </w:r>
      <w:r>
        <w:t xml:space="preserve">Addresses, telephone numbers and electronic mail addresses of forest landowners owning less than 1,000 acres statewide contained in reports filed under this section are confidential when in possession of the Department of Agriculture, Conservation and Forestry, Bureau of Forestry and may be disclosed only in accordance with </w:t>
      </w:r>
      <w:r>
        <w:t>Title 12, section 8005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358, §5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§581-G. Report to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§581-G. Report to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§581-G. REPORT TO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