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4404-A</w:t>
        <w:t xml:space="preserve">.  </w:t>
      </w:r>
      <w:r>
        <w:rPr>
          <w:b/>
        </w:rPr>
        <w:t xml:space="preserve">Importation of tobacco products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subsections 2</w:t>
      </w:r>
      <w:r>
        <w:t xml:space="preserve"> and </w:t>
      </w:r>
      <w:r>
        <w:t>3</w:t>
      </w:r>
      <w:r>
        <w:t xml:space="preserve">, only a person licensed pursuant to </w:t>
      </w:r>
      <w:r>
        <w:t>section 4402</w:t>
      </w:r>
      <w:r>
        <w:t xml:space="preserve"> may import tobacco products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transport tobacco products into this State and may transport tobacco products from place to place within this State in quantities greater than those excepted in </w:t>
      </w:r>
      <w:r>
        <w:t>subsection 3</w:t>
      </w:r>
      <w:r>
        <w:t xml:space="preserve"> for the purpose of marketing and sales if the sale or distribution of those tobacco products is accounted for and the taxes are paid by a person licensed pursuant to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§64 (AMD).]</w:t>
      </w:r>
    </w:p>
    <w:p>
      <w:pPr>
        <w:jc w:val="both"/>
        <w:spacing w:before="100" w:after="100"/>
        <w:ind w:start="360"/>
        <w:ind w:firstLine="360"/>
      </w:pPr>
      <w:r>
        <w:rPr>
          <w:b/>
        </w:rPr>
        <w:t>3</w:t>
        <w:t xml:space="preserve">.  </w:t>
      </w:r>
      <w:r>
        <w:rPr>
          <w:b/>
        </w:rPr>
        <w:t>(TEXT EFFECTIVE UNTIL 1/01/24)</w:t>
        <w:t xml:space="preserve"> </w:t>
      </w:r>
      <w:r>
        <w:rPr>
          <w:b/>
        </w:rPr>
        <w:t xml:space="preserve">Exception for personal use.</w:t>
        <w:t xml:space="preserve"> </w:t>
      </w:r>
      <w:r>
        <w:t xml:space="preserve"> </w:t>
      </w:r>
      <w:r>
        <w:t xml:space="preserve">A person who is not a licensed distributor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§103 (AMD).]</w:t>
      </w:r>
    </w:p>
    <w:p>
      <w:pPr>
        <w:jc w:val="both"/>
        <w:spacing w:before="100" w:after="100"/>
        <w:ind w:start="360"/>
        <w:ind w:firstLine="360"/>
      </w:pPr>
      <w:r>
        <w:rPr>
          <w:b/>
        </w:rPr>
        <w:t>3</w:t>
        <w:t xml:space="preserve">.  </w:t>
      </w:r>
      <w:r>
        <w:rPr>
          <w:b/>
        </w:rPr>
        <w:t>(TEXT EFFECTIVE 1/01/24)</w:t>
        <w:t xml:space="preserve"> </w:t>
      </w:r>
      <w:r>
        <w:rPr>
          <w:b/>
        </w:rPr>
        <w:t xml:space="preserve">Exception for personal use.</w:t>
        <w:t xml:space="preserve"> </w:t>
      </w:r>
      <w:r>
        <w:t xml:space="preserve"> </w:t>
      </w:r>
      <w:r>
        <w:t xml:space="preserve">A person who is not a licensed distributor or licensed remote retail seller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§23 (AMD); PL 2023, c. 441, Pt. E, §28 (AFF).]</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by a person who is not licensed pursuant to </w:t>
      </w:r>
      <w:r>
        <w:t>section 4402</w:t>
      </w:r>
      <w:r>
        <w:t xml:space="preserve"> of more than 125 cigars or one pound of other tobacco product for which the tax imposed by this chapter has not been paid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b/>
        </w:rPr>
        <w:t>(TEXT EFFECTIVE UNTIL 1/01/24)</w:t>
        <w:t xml:space="preserve"> </w:t>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annually mailed to the retailer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100"/>
        <w:ind w:start="360"/>
        <w:ind w:firstLine="360"/>
      </w:pPr>
      <w:r>
        <w:rPr/>
      </w:r>
      <w:r>
        <w:rPr>
          <w:b/>
        </w:rPr>
        <w:t>(TEXT EFFECTIVE 1/01/24)</w:t>
        <w:t xml:space="preserve"> </w:t>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provided by the assessor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2023, c. 441, Pt. E, §22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2007, c. 438, §103 (AMD). PL 2007, c. 466, Pt. A, §64 (AMD). PL 2023, c. 441, Pt. E, §§22, 23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§4404-A. Importation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§4404-A. Importation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§4404-A. IMPORTATION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