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Purpose</w:t>
      </w:r>
    </w:p>
    <w:p>
      <w:pPr>
        <w:jc w:val="both"/>
        <w:spacing w:before="100" w:after="100"/>
        <w:ind w:start="360"/>
        <w:ind w:firstLine="360"/>
      </w:pPr>
      <w:r>
        <w:rPr/>
      </w:r>
      <w:r>
        <w:rPr/>
      </w:r>
      <w:r>
        <w:t xml:space="preserve">The production and marketing of wild blueberries is one of the most important agricultural industries of the State, and this chapter is enacted into law to conserve and promote the prosperity and welfare of this State and of the wild blueberry industry of this State by fostering research and extension programs, by supporting the development of promotional opportunities and other activities related to the wild blueberry industry.</w:t>
      </w:r>
      <w:r>
        <w:t xml:space="preserve">  </w:t>
      </w:r>
      <w:r xmlns:wp="http://schemas.openxmlformats.org/drawingml/2010/wordprocessingDrawing" xmlns:w15="http://schemas.microsoft.com/office/word/2012/wordml">
        <w:rPr>
          <w:rFonts w:ascii="Arial" w:hAnsi="Arial" w:cs="Arial"/>
          <w:sz w:val="22"/>
          <w:szCs w:val="22"/>
        </w:rPr>
        <w:t xml:space="preserve">[PL 1997, c. 511,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§1 (AMD). PL 1997, c. 511,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