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Examination</w:t>
      </w:r>
    </w:p>
    <w:p>
      <w:pPr>
        <w:jc w:val="both"/>
        <w:spacing w:before="100" w:after="100"/>
        <w:ind w:start="360"/>
        <w:ind w:firstLine="360"/>
      </w:pPr>
      <w:r>
        <w:rPr/>
      </w:r>
      <w:r>
        <w:rPr/>
      </w:r>
      <w:r>
        <w:t xml:space="preserve">The Bureau of Revenue Services shall hold qualifying examinations for assessors as necessary, but not fewer than 2 times each year.</w:t>
      </w:r>
      <w:r>
        <w:t xml:space="preserve">  </w:t>
      </w:r>
      <w:r xmlns:wp="http://schemas.openxmlformats.org/drawingml/2010/wordprocessingDrawing" xmlns:w15="http://schemas.microsoft.com/office/word/2012/wordml">
        <w:rPr>
          <w:rFonts w:ascii="Arial" w:hAnsi="Arial" w:cs="Arial"/>
          <w:sz w:val="22"/>
          <w:szCs w:val="22"/>
        </w:rPr>
        <w:t xml:space="preserve">[PL 2021, c. 531, Pt. B, §1 (AMD).]</w:t>
      </w:r>
    </w:p>
    <w:p>
      <w:pPr>
        <w:jc w:val="both"/>
        <w:spacing w:before="100" w:after="0"/>
        <w:ind w:start="360"/>
        <w:ind w:firstLine="360"/>
      </w:pPr>
      <w:r>
        <w:rPr>
          <w:b/>
        </w:rPr>
        <w:t>1</w:t>
        <w:t xml:space="preserve">.  </w:t>
      </w:r>
      <w:r>
        <w:rPr>
          <w:b/>
        </w:rPr>
        <w:t xml:space="preserve">Additional examinations.</w:t>
        <w:t xml:space="preserve"> </w:t>
      </w:r>
      <w:r>
        <w:t xml:space="preserve"> </w:t>
      </w:r>
      <w:r>
        <w:t xml:space="preserve">Such additional examinations may be held as the State Tax Assessor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w:t>
      </w:r>
    </w:p>
    <w:p>
      <w:pPr>
        <w:jc w:val="both"/>
        <w:spacing w:before="100" w:after="0"/>
        <w:ind w:start="360"/>
        <w:ind w:firstLine="360"/>
      </w:pPr>
      <w:r>
        <w:rPr>
          <w:b/>
        </w:rPr>
        <w:t>2</w:t>
        <w:t xml:space="preserve">.  </w:t>
      </w:r>
      <w:r>
        <w:rPr>
          <w:b/>
        </w:rPr>
        <w:t xml:space="preserve">Content and type.</w:t>
        <w:t xml:space="preserve"> </w:t>
      </w:r>
      <w:r>
        <w:t xml:space="preserve"> </w:t>
      </w:r>
      <w:r>
        <w:t xml:space="preserve">The State Tax Assessor shall determine the content and type of examination and in so doing may consult with professional assessing organizations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3</w:t>
        <w:t xml:space="preserve">.  </w:t>
      </w:r>
      <w:r>
        <w:rPr>
          <w:b/>
        </w:rPr>
        <w:t xml:space="preserve">Test applicant's knowledge.</w:t>
        <w:t xml:space="preserve"> </w:t>
      </w:r>
      <w:r>
        <w:t xml:space="preserve"> </w:t>
      </w:r>
      <w:r>
        <w:t xml:space="preserve">The examination shall, among other things, test the applicant's knowledge of applicable law and techniques of assessing.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4</w:t>
        <w:t xml:space="preserve">.  </w:t>
      </w:r>
      <w:r>
        <w:rPr>
          <w:b/>
        </w:rPr>
        <w:t xml:space="preserve">Level of attainment.</w:t>
        <w:t xml:space="preserve"> </w:t>
      </w:r>
      <w:r>
        <w:t xml:space="preserve"> </w:t>
      </w:r>
      <w:r>
        <w:t xml:space="preserve">The State Tax Assessor shall establish by rule the level of attainment on the examination required for certification.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 (AMD).]</w:t>
      </w:r>
    </w:p>
    <w:p>
      <w:pPr>
        <w:jc w:val="both"/>
        <w:spacing w:before="100" w:after="0"/>
        <w:ind w:start="360"/>
        <w:ind w:firstLine="360"/>
      </w:pPr>
      <w:r>
        <w:rPr>
          <w:b/>
        </w:rPr>
        <w:t>5</w:t>
        <w:t xml:space="preserve">.  </w:t>
      </w:r>
      <w:r>
        <w:rPr>
          <w:b/>
        </w:rPr>
        <w:t xml:space="preserve">Confidentiality.</w:t>
        <w:t xml:space="preserve"> </w:t>
      </w:r>
      <w:r>
        <w:t xml:space="preserve"> </w:t>
      </w:r>
      <w:r>
        <w:t xml:space="preserve">Copies of the qualifying examination and individual examination results are confidential and are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1981, c. 330 (AMD). PL 1997, c. 526, §14 (AMD). PL 2011, c. 240, §4 (AMD). PL 2021, c. 253, Pt. C, §1 (AMD). PL 2021, c. 531,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§310.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