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1763</w:t>
        <w:t xml:space="preserve">.  </w:t>
      </w:r>
      <w:r>
        <w:rPr>
          <w:b/>
        </w:rPr>
        <w:t xml:space="preserve">Presumptions</w:t>
      </w:r>
    </w:p>
    <w:p>
      <w:pPr>
        <w:jc w:val="both"/>
        <w:spacing w:before="100" w:after="100"/>
        <w:ind w:start="360"/>
        <w:ind w:firstLine="360"/>
      </w:pPr>
      <w:r>
        <w:rPr/>
      </w:r>
      <w:r>
        <w:rPr/>
      </w:r>
      <w:r>
        <w:t xml:space="preserve">The burden of proving that a transaction was not taxable is on the person charged with tax liability.  The presumption that a sale was not for resale may be overcome during an audit or upon reconsideration if the seller proves that the purchaser was the holder of a currently valid resale certificate as provided in </w:t>
      </w:r>
      <w:r>
        <w:t>section 1754‑B</w:t>
      </w:r>
      <w:r>
        <w:t xml:space="preserve"> at the time of the sale or proves through other means that the property purchased was purchased for resale by the purchaser in the ordinary course of business.  Notwithstanding </w:t>
      </w:r>
      <w:r>
        <w:t>section 1752, subsection 11, paragraph B</w:t>
      </w:r>
      <w:r>
        <w:t xml:space="preserve">, if the seller satisfies the seller's burden of proof, the sale is not considered a retail sale.</w:t>
      </w:r>
      <w:r>
        <w:t xml:space="preserve">  </w:t>
      </w:r>
      <w:r xmlns:wp="http://schemas.openxmlformats.org/drawingml/2010/wordprocessingDrawing" xmlns:w15="http://schemas.microsoft.com/office/word/2012/wordml">
        <w:rPr>
          <w:rFonts w:ascii="Arial" w:hAnsi="Arial" w:cs="Arial"/>
          <w:sz w:val="22"/>
          <w:szCs w:val="22"/>
        </w:rPr>
        <w:t xml:space="preserve">[PL 2007, c. 693,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§1763. Presumptions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§1763. Presumptions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§1763. PRESUMPTIONS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