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§1609. Audit of municipal cost component and the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Audit of municipal cost component and the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§1609. AUDIT OF MUNICIPAL COST COMPONENT AND THE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