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Purpose</w:t>
      </w:r>
    </w:p>
    <w:p>
      <w:pPr>
        <w:jc w:val="both"/>
        <w:spacing w:before="100" w:after="100"/>
        <w:ind w:start="360"/>
        <w:ind w:firstLine="360"/>
      </w:pPr>
      <w:r>
        <w:rPr/>
      </w:r>
      <w:r>
        <w:rPr/>
      </w:r>
      <w:r>
        <w:t xml:space="preserve">The purpose of this chapter is to levy an excise tax upon the owner of any watercraft, not otherwise exempt, for the privilege of operating a watercraft upon the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