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1497</w:t>
        <w:t xml:space="preserve">.  </w:t>
      </w:r>
      <w:r>
        <w:rPr>
          <w:b/>
        </w:rPr>
        <w:t xml:space="preserve">Withdrawal or revocation -- Article VI</w:t>
      </w:r>
    </w:p>
    <w:p>
      <w:pPr>
        <w:jc w:val="both"/>
        <w:spacing w:before="100" w:after="100"/>
        <w:ind w:start="360"/>
        <w:ind w:firstLine="360"/>
      </w:pPr>
      <w:r>
        <w:rPr/>
      </w:r>
      <w:r>
        <w:rPr/>
      </w:r>
      <w:r>
        <w:t xml:space="preserve">Any contracting state may withdraw from this agreement upon 30 days written notice to each other contracting state, which notice may be given only after the repeal of this agreement by the legislature of such state, if adoption was by legislative act, or after renunciation by the appropriate administrative official of such contracting state if the laws thereof empower that official so to renounce.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§1497. Withdrawal or revocation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§1497. Withdrawal or revocation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§1497. WITHDRAWAL OR REVOCATION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