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Procedure, liability and penalties incorporated by reference; construction</w:t>
      </w:r>
    </w:p>
    <w:p>
      <w:pPr>
        <w:jc w:val="both"/>
        <w:spacing w:before="100" w:after="100"/>
        <w:ind w:start="360"/>
        <w:ind w:firstLine="360"/>
      </w:pPr>
      <w:r>
        <w:rPr/>
      </w:r>
      <w:r>
        <w:rPr/>
      </w:r>
      <w:r>
        <w:t xml:space="preserve">To the extent that they are not in conflict with this chapter, </w:t>
      </w:r>
      <w:r>
        <w:t>chapters 13</w:t>
      </w:r>
      <w:r>
        <w:t xml:space="preserve"> and </w:t>
      </w:r>
      <w:r>
        <w:t>15</w:t>
      </w:r>
      <w:r>
        <w:t xml:space="preserve"> apply to this chapter.  This subchapter shall be construed liberally in order to achieve the purposes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§4357. Procedure, liability and penalties incorporated by reference;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Procedure, liability and penalties incorporated by reference;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§4357. PROCEDURE, LIABILITY AND PENALTIES INCORPORATED BY REFERENCE;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