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ind w:firstLine="360"/>
      </w:pPr>
      <w:r>
        <w:rPr/>
      </w:r>
      <w:r>
        <w:rPr/>
      </w:r>
      <w:r>
        <w:t xml:space="preserve">The bank may purchase notes of any public utility issued in anticipation of the sale of public utility bonds in an amount not exceeding at any one time the outstanding authorized amount of the public utility bonds.  In connection with any such purchase of anticipation notes, the bank may by agreement with the public utility impose such terms, conditions and limitations as in its opinion are proper in the circumstances and for the purposes and security of the bank and the holders of its bonds or notes.  The bank shall enforce all such rights, remedies and provisions of law as it has under this section or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