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§2106. Transfer of approval for a radio common carrier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Transfer of approval for a radio common carrier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§2106. TRANSFER OF APPROVAL FOR A RADIO COMMON CARRIER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