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1707</w:t>
        <w:t xml:space="preserve">.  </w:t>
      </w:r>
      <w:r>
        <w:rPr>
          <w:b/>
        </w:rPr>
        <w:t xml:space="preserve">Expenses of the Public Advocate</w:t>
      </w:r>
    </w:p>
    <w:p>
      <w:pPr>
        <w:jc w:val="both"/>
        <w:spacing w:before="100" w:after="100"/>
        <w:ind w:start="360"/>
        <w:ind w:firstLine="360"/>
      </w:pPr>
      <w:r>
        <w:rPr/>
      </w:r>
      <w:r>
        <w:rPr/>
      </w:r>
      <w:r>
        <w:t xml:space="preserve">The Public Advocate, within established budgetary limits and as allowed by law, shall authorize and approve travel, subsistence and related necessary expenses of the Public Advocate or members of the staff of the Public Advocate, incurred while traveling on official business.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§1707. Expenses of the Public Advocate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§1707. Expenses of the Public Advocate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§1707. EXPENSES OF THE PUBLIC ADVOCATE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