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9601</w:t>
        <w:t xml:space="preserve">.  </w:t>
      </w:r>
      <w:r>
        <w:rPr>
          <w:b/>
        </w:rPr>
        <w:t xml:space="preserve">Purpose and policy--Article I</w:t>
      </w:r>
    </w:p>
    <w:p>
      <w:pPr>
        <w:jc w:val="both"/>
        <w:spacing w:before="100" w:after="100"/>
        <w:ind w:start="360"/>
        <w:ind w:firstLine="360"/>
      </w:pPr>
      <w:r>
        <w:rPr/>
      </w:r>
      <w:r>
        <w:rPr/>
      </w:r>
      <w:r>
        <w:t xml:space="preserve">The party states find that charges outstanding against a prisoner, detainers based on untried indictments, informations or complaints, and difficulties in securing speedy trials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informations or complaints.  The party states also find that proceedings with reference to such charges and detainers, when emanating from other jurisdictions, cannot properly be had in the absence of cooperative procedures.  It is the further purpose of this agreement to provide such cooperative procedures.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§9601. Purpose and policy--Article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§9601. Purpose and policy--Article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§9601. PURPOSE AND POLICY--ARTICLE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